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287C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2CC6CDC"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广东省注册会计师协会第三届粤港澳大湾区</w:t>
      </w:r>
    </w:p>
    <w:p w14:paraId="77A29464"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服务贸易大会活动流程</w:t>
      </w:r>
    </w:p>
    <w:p w14:paraId="6D7974B1">
      <w:pPr>
        <w:pStyle w:val="5"/>
        <w:spacing w:line="360" w:lineRule="auto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 w14:paraId="2B59E730">
      <w:pPr>
        <w:spacing w:line="360" w:lineRule="auto"/>
        <w:ind w:firstLine="645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一、活动时间、地点</w:t>
      </w:r>
    </w:p>
    <w:p w14:paraId="7D7D7E52"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2024年10月31日—11月1日</w:t>
      </w:r>
    </w:p>
    <w:p w14:paraId="5A7C73BF">
      <w:pPr>
        <w:pStyle w:val="2"/>
        <w:spacing w:after="0" w:line="360" w:lineRule="auto"/>
        <w:ind w:firstLine="643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：珠海国际会展中心A区3号馆（珠海市香洲区银湾路1</w:t>
      </w:r>
      <w:r>
        <w:rPr>
          <w:rFonts w:ascii="仿宋_GB2312" w:hAnsi="仿宋_GB2312" w:eastAsia="仿宋_GB2312" w:cs="仿宋_GB2312"/>
          <w:sz w:val="32"/>
          <w:szCs w:val="32"/>
        </w:rPr>
        <w:t>663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 w14:paraId="13C7259D"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二、活动安排</w:t>
      </w:r>
    </w:p>
    <w:p w14:paraId="2E2B705E">
      <w:pPr>
        <w:pStyle w:val="2"/>
        <w:spacing w:after="0" w:line="360" w:lineRule="auto"/>
        <w:jc w:val="center"/>
        <w:rPr>
          <w:rFonts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40"/>
          <w:szCs w:val="40"/>
        </w:rPr>
        <w:t>10月31日</w:t>
      </w:r>
    </w:p>
    <w:p w14:paraId="50032EDD">
      <w:pPr>
        <w:spacing w:line="360" w:lineRule="auto"/>
        <w:ind w:firstLine="643" w:firstLineChars="200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—— 上午（10:00-12:00）——</w:t>
      </w:r>
    </w:p>
    <w:p w14:paraId="3FD4F3D4">
      <w:pPr>
        <w:spacing w:line="360" w:lineRule="auto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（一）服贸会大会开幕式</w:t>
      </w:r>
    </w:p>
    <w:p w14:paraId="756A980F">
      <w:pPr>
        <w:pStyle w:val="2"/>
        <w:ind w:firstLine="643" w:firstLineChars="200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（二）成果发布</w:t>
      </w:r>
    </w:p>
    <w:p w14:paraId="69FE879D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1.《2023年和2024年上半年中国海外投资概览》研究成果宣讲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DF90D4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【发布人：安永国际及并购重组税务咨询合伙人蔡颖筠】</w:t>
      </w:r>
    </w:p>
    <w:p w14:paraId="66B2855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注册会计师服务可持续发展专题分享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53A1311">
      <w:pPr>
        <w:spacing w:line="360" w:lineRule="auto"/>
        <w:ind w:firstLine="600" w:firstLineChars="200"/>
        <w:rPr>
          <w:rFonts w:ascii="楷体_GB2312" w:hAnsi="楷体_GB2312" w:eastAsia="楷体_GB2312" w:cs="楷体_GB2312"/>
          <w:b/>
          <w:bCs/>
          <w:sz w:val="40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发布人：毕马威环境、社会和治理服务合伙人胡颖华】</w:t>
      </w:r>
    </w:p>
    <w:p w14:paraId="6142C163">
      <w:pPr>
        <w:pStyle w:val="2"/>
        <w:spacing w:after="0" w:line="360" w:lineRule="auto"/>
        <w:jc w:val="center"/>
        <w:rPr>
          <w:rFonts w:ascii="楷体_GB2312" w:hAnsi="楷体_GB2312" w:eastAsia="楷体_GB2312" w:cs="楷体_GB2312"/>
          <w:b/>
          <w:bCs/>
          <w:sz w:val="40"/>
          <w:szCs w:val="40"/>
        </w:rPr>
      </w:pPr>
    </w:p>
    <w:p w14:paraId="3EF41ED2">
      <w:pPr>
        <w:pStyle w:val="2"/>
        <w:spacing w:after="0" w:line="360" w:lineRule="auto"/>
        <w:jc w:val="center"/>
        <w:rPr>
          <w:rFonts w:ascii="楷体_GB2312" w:hAnsi="楷体_GB2312" w:eastAsia="楷体_GB2312" w:cs="楷体_GB2312"/>
          <w:b/>
          <w:bCs/>
          <w:sz w:val="40"/>
          <w:szCs w:val="40"/>
        </w:rPr>
      </w:pPr>
    </w:p>
    <w:p w14:paraId="3CD09A70">
      <w:pPr>
        <w:pStyle w:val="2"/>
        <w:spacing w:after="0" w:line="360" w:lineRule="auto"/>
        <w:jc w:val="center"/>
        <w:rPr>
          <w:rFonts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40"/>
          <w:szCs w:val="40"/>
        </w:rPr>
        <w:t>10月31日</w:t>
      </w:r>
    </w:p>
    <w:p w14:paraId="07E7B1BE">
      <w:pPr>
        <w:spacing w:line="360" w:lineRule="auto"/>
        <w:ind w:firstLine="643" w:firstLineChars="200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—— 下午（14:00-17:00）——</w:t>
      </w:r>
    </w:p>
    <w:p w14:paraId="540AEF8B">
      <w:pPr>
        <w:spacing w:line="360" w:lineRule="auto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（一）领导致辞</w:t>
      </w:r>
    </w:p>
    <w:p w14:paraId="7542CEC6">
      <w:pPr>
        <w:spacing w:line="360" w:lineRule="auto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（二）广东省注册会计师协会、广东省资产评估协会、广州数据交易所三方共同签署战略协议</w:t>
      </w:r>
    </w:p>
    <w:p w14:paraId="6404B4DC">
      <w:pPr>
        <w:pStyle w:val="2"/>
        <w:ind w:firstLine="643" w:firstLineChars="200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（三）成果发布</w:t>
      </w:r>
    </w:p>
    <w:p w14:paraId="174C9F61">
      <w:pPr>
        <w:pStyle w:val="2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1.《粤港澳大湾区交通运输行业展望》(在本届服贸会上首发）  </w:t>
      </w:r>
    </w:p>
    <w:p w14:paraId="64C9D04C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【发布人：毕马威广州、佛山分所负责人王洁】</w:t>
      </w:r>
    </w:p>
    <w:p w14:paraId="499C1250">
      <w:pPr>
        <w:pStyle w:val="2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2.One-Risk智慧风控平台 </w:t>
      </w:r>
    </w:p>
    <w:p w14:paraId="50277771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【发布人：天健广东分所企业咨询合伙人刘相平】</w:t>
      </w:r>
    </w:p>
    <w:p w14:paraId="6394DC2F">
      <w:pPr>
        <w:pStyle w:val="2"/>
        <w:ind w:firstLine="643" w:firstLineChars="200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（四）圆桌分享</w:t>
      </w:r>
    </w:p>
    <w:p w14:paraId="1AD3A06D">
      <w:pPr>
        <w:pStyle w:val="2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1.主题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：赋能大湾区企业应对“可持续发展”新要求</w:t>
      </w:r>
    </w:p>
    <w:p w14:paraId="55435563">
      <w:pPr>
        <w:pStyle w:val="2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安永合伙人</w:t>
      </w:r>
    </w:p>
    <w:p w14:paraId="7ADECE5C">
      <w:pPr>
        <w:pStyle w:val="2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2.主题：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数据资产的价值释放</w:t>
      </w:r>
    </w:p>
    <w:p w14:paraId="2DEA0283">
      <w:pPr>
        <w:pStyle w:val="2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毕马威企业数字化战略咨询主管合伙人李良</w:t>
      </w:r>
    </w:p>
    <w:p w14:paraId="5D3A182D">
      <w:pPr>
        <w:pStyle w:val="2"/>
        <w:ind w:firstLine="643" w:firstLineChars="200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（五）成果发布</w:t>
      </w:r>
    </w:p>
    <w:p w14:paraId="24E9C0DF">
      <w:pPr>
        <w:pStyle w:val="2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1.《服务企业案例展示宣讲》   </w:t>
      </w:r>
    </w:p>
    <w:p w14:paraId="33370303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【发布人：立信珠海分所负责人杜小强】</w:t>
      </w:r>
    </w:p>
    <w:p w14:paraId="08CB4247">
      <w:pPr>
        <w:pStyle w:val="2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2.《服务企业数字化转化转型》 </w:t>
      </w:r>
    </w:p>
    <w:p w14:paraId="09EF131C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【发布人：诚安信合伙人】</w:t>
      </w:r>
    </w:p>
    <w:p w14:paraId="07BE1E04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3.《跨境电商行业在新时代的商业模式及财税优化策略——以SEHIN公司为例》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</w:p>
    <w:p w14:paraId="0BFEB0AA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【发布人：中海粤合伙人】</w:t>
      </w:r>
    </w:p>
    <w:p w14:paraId="40270A9B">
      <w:pPr>
        <w:pStyle w:val="2"/>
        <w:spacing w:after="0" w:line="360" w:lineRule="auto"/>
        <w:jc w:val="center"/>
        <w:rPr>
          <w:rFonts w:ascii="楷体_GB2312" w:hAnsi="楷体_GB2312" w:eastAsia="楷体_GB2312" w:cs="楷体_GB2312"/>
          <w:b/>
          <w:bCs/>
          <w:sz w:val="40"/>
          <w:szCs w:val="40"/>
        </w:rPr>
      </w:pPr>
    </w:p>
    <w:p w14:paraId="6BBD0D82">
      <w:pPr>
        <w:pStyle w:val="2"/>
        <w:spacing w:after="0" w:line="360" w:lineRule="auto"/>
        <w:jc w:val="center"/>
        <w:rPr>
          <w:rFonts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40"/>
          <w:szCs w:val="40"/>
        </w:rPr>
        <w:t>11月1日</w:t>
      </w:r>
    </w:p>
    <w:p w14:paraId="1E2E178D">
      <w:pPr>
        <w:spacing w:line="360" w:lineRule="auto"/>
        <w:ind w:firstLine="643" w:firstLineChars="200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—— 上午（9:30-12:00）——</w:t>
      </w:r>
    </w:p>
    <w:p w14:paraId="287DC890">
      <w:pPr>
        <w:pStyle w:val="2"/>
        <w:ind w:firstLine="643" w:firstLineChars="200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（一）成果发布</w:t>
      </w:r>
    </w:p>
    <w:p w14:paraId="20B32C72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1.工程智能审计平台、“智财报”工具等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</w:p>
    <w:p w14:paraId="2A06D7CA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【发布人：中职信合伙人】</w:t>
      </w:r>
    </w:p>
    <w:p w14:paraId="38CDFFCC">
      <w:pPr>
        <w:pStyle w:val="2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2.</w:t>
      </w:r>
      <w:r>
        <w:rPr>
          <w:rFonts w:ascii="楷体_GB2312" w:hAnsi="楷体_GB2312" w:eastAsia="楷体_GB2312" w:cs="楷体_GB2312"/>
          <w:kern w:val="2"/>
          <w:sz w:val="32"/>
          <w:szCs w:val="32"/>
        </w:rPr>
        <w:t>《安永绿色税收跟踪报告》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 </w:t>
      </w:r>
    </w:p>
    <w:p w14:paraId="5D15045E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【发布人：安永间接税合伙人梁斯尔】</w:t>
      </w:r>
    </w:p>
    <w:p w14:paraId="0BE9F21C">
      <w:pPr>
        <w:pStyle w:val="2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3.风控3.0专题研发，《迈向风控3.0—天健价值型风控合规体系落地四大制胜之道》  </w:t>
      </w:r>
    </w:p>
    <w:p w14:paraId="6D7762CF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【发布人：天健会计师事务所广东分所</w:t>
      </w:r>
      <w:r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  <w:t>内控及风控咨询合伙人周翔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】</w:t>
      </w:r>
    </w:p>
    <w:p w14:paraId="698B5776">
      <w:pPr>
        <w:pStyle w:val="2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4.审法融合，多维度构建新时代的企业刑事风险防范及应对矩阵</w:t>
      </w:r>
    </w:p>
    <w:p w14:paraId="460EFC8D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【发布人：诚安信合伙人】</w:t>
      </w:r>
    </w:p>
    <w:p w14:paraId="019E39F9">
      <w:pPr>
        <w:pStyle w:val="2"/>
        <w:ind w:firstLine="643" w:firstLineChars="200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（二）圆桌分享</w:t>
      </w:r>
    </w:p>
    <w:p w14:paraId="0B0B1A4F">
      <w:pPr>
        <w:pStyle w:val="2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主题：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服务大湾区企业“走出去”</w:t>
      </w:r>
    </w:p>
    <w:p w14:paraId="7A6DE570">
      <w:pPr>
        <w:pStyle w:val="2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主持人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：毕马威交易战略与并购融资合伙人王威杰</w:t>
      </w:r>
    </w:p>
    <w:p w14:paraId="5BEFECE8">
      <w:pPr>
        <w:rPr>
          <w:rFonts w:ascii="仿宋_GB2312" w:hAnsi="仿宋_GB2312" w:eastAsia="仿宋_GB2312" w:cs="仿宋_GB2312"/>
          <w:sz w:val="32"/>
          <w:szCs w:val="40"/>
        </w:rPr>
      </w:pPr>
    </w:p>
    <w:p w14:paraId="229514FD">
      <w:pPr>
        <w:rPr>
          <w:rFonts w:ascii="仿宋_GB2312" w:hAnsi="仿宋_GB2312" w:eastAsia="仿宋_GB2312" w:cs="仿宋_GB2312"/>
          <w:sz w:val="32"/>
          <w:szCs w:val="40"/>
        </w:rPr>
      </w:pPr>
    </w:p>
    <w:p w14:paraId="5BFF83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NzZkN2RlYzI0YzFmZDU1ZTk3NGE4MTcwNWRmNWQifQ=="/>
  </w:docVars>
  <w:rsids>
    <w:rsidRoot w:val="00000000"/>
    <w:rsid w:val="0488386C"/>
    <w:rsid w:val="06BE28EA"/>
    <w:rsid w:val="0DA921FE"/>
    <w:rsid w:val="0E663C2D"/>
    <w:rsid w:val="11EE1B9E"/>
    <w:rsid w:val="133E60F6"/>
    <w:rsid w:val="13553998"/>
    <w:rsid w:val="17295D6E"/>
    <w:rsid w:val="185A409A"/>
    <w:rsid w:val="18BF1E45"/>
    <w:rsid w:val="18CB3D5A"/>
    <w:rsid w:val="20D54569"/>
    <w:rsid w:val="22FC59EA"/>
    <w:rsid w:val="23900DB8"/>
    <w:rsid w:val="246014FC"/>
    <w:rsid w:val="250974B0"/>
    <w:rsid w:val="269A1D26"/>
    <w:rsid w:val="29664EF6"/>
    <w:rsid w:val="2C5A32D1"/>
    <w:rsid w:val="2E5B74E4"/>
    <w:rsid w:val="2EAF3618"/>
    <w:rsid w:val="376A3862"/>
    <w:rsid w:val="376F5D9F"/>
    <w:rsid w:val="389A469E"/>
    <w:rsid w:val="3B183C70"/>
    <w:rsid w:val="43951AF9"/>
    <w:rsid w:val="44F30C0C"/>
    <w:rsid w:val="46E1223A"/>
    <w:rsid w:val="476F1819"/>
    <w:rsid w:val="4C0C260C"/>
    <w:rsid w:val="4D02553E"/>
    <w:rsid w:val="50D16BD6"/>
    <w:rsid w:val="534E3A23"/>
    <w:rsid w:val="542B1514"/>
    <w:rsid w:val="546A5F05"/>
    <w:rsid w:val="5490739C"/>
    <w:rsid w:val="55703CAB"/>
    <w:rsid w:val="5892214C"/>
    <w:rsid w:val="59FB36DE"/>
    <w:rsid w:val="5B9233D5"/>
    <w:rsid w:val="5BC3257D"/>
    <w:rsid w:val="5DC65F61"/>
    <w:rsid w:val="5E3A14E7"/>
    <w:rsid w:val="5ED444A4"/>
    <w:rsid w:val="5F6A42C5"/>
    <w:rsid w:val="61AF4D5A"/>
    <w:rsid w:val="639957D6"/>
    <w:rsid w:val="6496320D"/>
    <w:rsid w:val="680D7A8B"/>
    <w:rsid w:val="68954A41"/>
    <w:rsid w:val="6C161F2E"/>
    <w:rsid w:val="6C4649EC"/>
    <w:rsid w:val="6CD53205"/>
    <w:rsid w:val="6D057222"/>
    <w:rsid w:val="6E2535AA"/>
    <w:rsid w:val="71753C13"/>
    <w:rsid w:val="71AD78AA"/>
    <w:rsid w:val="72D41357"/>
    <w:rsid w:val="74D86096"/>
    <w:rsid w:val="74F70644"/>
    <w:rsid w:val="783A7910"/>
    <w:rsid w:val="7A1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widowControl/>
      <w:spacing w:after="120"/>
      <w:jc w:val="left"/>
    </w:pPr>
    <w:rPr>
      <w:rFonts w:ascii="Calibri" w:hAnsi="Calibri" w:cs="宋体" w:eastAsiaTheme="minorEastAsia"/>
      <w:kern w:val="0"/>
      <w:sz w:val="24"/>
      <w:szCs w:val="24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2024-08-21T11:09:00Z</dcterms:created>
  <cp:lastModifiedBy> </cp:lastModifiedBy>
  <dcterms:modified xsi:type="dcterms:W3CDTF">2024-10-23T04:06:07Z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975C91E4020B4612B47C10F581945634_12</vt:lpwstr>
  </property>
</Properties>
</file>